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846"/>
        <w:tblW w:w="15422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56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850"/>
        <w:gridCol w:w="2268"/>
      </w:tblGrid>
      <w:tr w:rsidR="008B2953" w:rsidRPr="00127095" w14:paraId="1E84E5B2" w14:textId="77777777" w:rsidTr="008D1A0E">
        <w:trPr>
          <w:trHeight w:val="698"/>
        </w:trPr>
        <w:tc>
          <w:tcPr>
            <w:tcW w:w="567" w:type="dxa"/>
            <w:vMerge w:val="restart"/>
            <w:vAlign w:val="center"/>
          </w:tcPr>
          <w:p w14:paraId="1E9DB2F5" w14:textId="77777777" w:rsidR="008B2953" w:rsidRPr="000357A7" w:rsidRDefault="008B2953" w:rsidP="008D1A0E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_Hlk528756824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L.p.</w:t>
            </w:r>
          </w:p>
        </w:tc>
        <w:tc>
          <w:tcPr>
            <w:tcW w:w="2552" w:type="dxa"/>
            <w:vMerge w:val="restart"/>
            <w:vAlign w:val="center"/>
          </w:tcPr>
          <w:p w14:paraId="22E72929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pl-PL"/>
              </w:rPr>
            </w:pPr>
            <w:r w:rsidRPr="005321CB">
              <w:rPr>
                <w:rFonts w:ascii="Times New Roman" w:hAnsi="Times New Roman" w:cs="Times New Roman"/>
                <w:b/>
                <w:bCs/>
                <w:sz w:val="20"/>
                <w:szCs w:val="22"/>
                <w:lang w:val="pl-PL"/>
              </w:rPr>
              <w:t>Nazwa grupy składników aktywów trwałych</w:t>
            </w:r>
          </w:p>
        </w:tc>
        <w:tc>
          <w:tcPr>
            <w:tcW w:w="1956" w:type="dxa"/>
            <w:vMerge w:val="restart"/>
            <w:vAlign w:val="center"/>
          </w:tcPr>
          <w:p w14:paraId="1922E0AA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5321CB">
              <w:rPr>
                <w:rFonts w:ascii="Times New Roman" w:hAnsi="Times New Roman" w:cs="Times New Roman"/>
                <w:b/>
                <w:bCs/>
                <w:sz w:val="20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Bilans otwarcia </w:t>
            </w:r>
          </w:p>
          <w:p w14:paraId="6A119A45" w14:textId="77777777" w:rsidR="008B2953" w:rsidRPr="000357A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(brutto) </w:t>
            </w:r>
          </w:p>
          <w:p w14:paraId="405831F7" w14:textId="77777777" w:rsidR="008B2953" w:rsidRPr="0002661E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1281B5F6" w14:textId="77777777" w:rsidR="008B2953" w:rsidRPr="000357A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Zwiększenia wartości początkowej:</w:t>
            </w:r>
          </w:p>
        </w:tc>
        <w:tc>
          <w:tcPr>
            <w:tcW w:w="850" w:type="dxa"/>
            <w:vMerge w:val="restart"/>
            <w:textDirection w:val="btLr"/>
          </w:tcPr>
          <w:p w14:paraId="152E610E" w14:textId="77777777" w:rsidR="008B2953" w:rsidRPr="000357A7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Razem zwiększenia</w:t>
            </w:r>
          </w:p>
          <w:p w14:paraId="2F4E22E4" w14:textId="77777777" w:rsidR="008B2953" w:rsidRPr="0002661E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(4+5+6+7)</w:t>
            </w:r>
          </w:p>
        </w:tc>
        <w:tc>
          <w:tcPr>
            <w:tcW w:w="3119" w:type="dxa"/>
            <w:gridSpan w:val="4"/>
            <w:vAlign w:val="center"/>
          </w:tcPr>
          <w:p w14:paraId="639D3F45" w14:textId="77777777" w:rsidR="008B2953" w:rsidRPr="000357A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Zmniejszenia wartości początkowej: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2912DFC" w14:textId="77777777" w:rsidR="008B2953" w:rsidRPr="000357A7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357A7">
              <w:rPr>
                <w:rFonts w:ascii="Times New Roman" w:hAnsi="Times New Roman" w:cs="Times New Roman"/>
                <w:b/>
                <w:bCs/>
                <w:sz w:val="20"/>
              </w:rPr>
              <w:t>Razem zmniejszenia</w:t>
            </w:r>
          </w:p>
          <w:p w14:paraId="369DCFF3" w14:textId="77777777" w:rsidR="008B2953" w:rsidRPr="0002661E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357A7">
              <w:rPr>
                <w:rFonts w:ascii="Times New Roman" w:hAnsi="Times New Roman" w:cs="Times New Roman"/>
                <w:b/>
                <w:bCs/>
                <w:sz w:val="20"/>
              </w:rPr>
              <w:t>(9+10+11+12)</w:t>
            </w:r>
          </w:p>
        </w:tc>
        <w:tc>
          <w:tcPr>
            <w:tcW w:w="2268" w:type="dxa"/>
            <w:vMerge w:val="restart"/>
            <w:vAlign w:val="center"/>
          </w:tcPr>
          <w:p w14:paraId="5F3F67FB" w14:textId="77777777" w:rsidR="008B2953" w:rsidRPr="00ED4E85" w:rsidRDefault="008B2953" w:rsidP="008D1A0E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357A7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Bilans zamknięcia </w:t>
            </w:r>
            <w:r w:rsidRPr="000357A7">
              <w:rPr>
                <w:rFonts w:ascii="Times New Roman" w:hAnsi="Times New Roman" w:cs="Times New Roman"/>
                <w:b/>
                <w:bCs/>
                <w:sz w:val="20"/>
              </w:rPr>
              <w:t>(brutto) (</w:t>
            </w:r>
            <w:r w:rsidRPr="007A4DE6">
              <w:rPr>
                <w:rFonts w:ascii="Times New Roman" w:hAnsi="Times New Roman" w:cs="Times New Roman"/>
                <w:b/>
                <w:bCs/>
                <w:sz w:val="20"/>
              </w:rPr>
              <w:t>3+8-13</w:t>
            </w:r>
            <w:r w:rsidRPr="000357A7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</w:tc>
      </w:tr>
      <w:tr w:rsidR="008B2953" w14:paraId="48091C59" w14:textId="77777777" w:rsidTr="008D1A0E">
        <w:trPr>
          <w:cantSplit/>
          <w:trHeight w:val="1571"/>
        </w:trPr>
        <w:tc>
          <w:tcPr>
            <w:tcW w:w="567" w:type="dxa"/>
            <w:vMerge/>
            <w:vAlign w:val="center"/>
          </w:tcPr>
          <w:p w14:paraId="6B6CAB83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42FCB63A" w14:textId="77777777" w:rsidR="008B2953" w:rsidRPr="0002661E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956" w:type="dxa"/>
            <w:vMerge/>
            <w:vAlign w:val="center"/>
          </w:tcPr>
          <w:p w14:paraId="73E7AFCD" w14:textId="77777777" w:rsidR="008B2953" w:rsidRPr="0002661E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708" w:type="dxa"/>
            <w:textDirection w:val="btLr"/>
          </w:tcPr>
          <w:p w14:paraId="1A50386C" w14:textId="77777777" w:rsidR="008B2953" w:rsidRPr="0002661E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661E">
              <w:rPr>
                <w:rFonts w:ascii="Times New Roman" w:hAnsi="Times New Roman" w:cs="Times New Roman"/>
                <w:sz w:val="20"/>
                <w:szCs w:val="22"/>
              </w:rPr>
              <w:t>nabycie</w:t>
            </w:r>
          </w:p>
        </w:tc>
        <w:tc>
          <w:tcPr>
            <w:tcW w:w="851" w:type="dxa"/>
            <w:textDirection w:val="btLr"/>
            <w:vAlign w:val="center"/>
          </w:tcPr>
          <w:p w14:paraId="12913EE9" w14:textId="77777777" w:rsidR="008B2953" w:rsidRPr="0002661E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661E">
              <w:rPr>
                <w:rFonts w:ascii="Times New Roman" w:hAnsi="Times New Roman" w:cs="Times New Roman"/>
                <w:sz w:val="20"/>
                <w:szCs w:val="22"/>
              </w:rPr>
              <w:t>aktualizacja</w:t>
            </w:r>
          </w:p>
        </w:tc>
        <w:tc>
          <w:tcPr>
            <w:tcW w:w="850" w:type="dxa"/>
            <w:textDirection w:val="btLr"/>
          </w:tcPr>
          <w:p w14:paraId="6927228B" w14:textId="77777777" w:rsidR="008B2953" w:rsidRPr="0002661E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661E">
              <w:rPr>
                <w:rFonts w:ascii="Times New Roman" w:hAnsi="Times New Roman" w:cs="Times New Roman"/>
                <w:sz w:val="20"/>
                <w:szCs w:val="22"/>
              </w:rPr>
              <w:t>przemieszczenia wewnętrzne</w:t>
            </w:r>
          </w:p>
        </w:tc>
        <w:tc>
          <w:tcPr>
            <w:tcW w:w="851" w:type="dxa"/>
            <w:textDirection w:val="btLr"/>
          </w:tcPr>
          <w:p w14:paraId="1D652DA7" w14:textId="77777777" w:rsidR="008B2953" w:rsidRPr="0002661E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inne</w:t>
            </w:r>
          </w:p>
        </w:tc>
        <w:tc>
          <w:tcPr>
            <w:tcW w:w="850" w:type="dxa"/>
            <w:vMerge/>
            <w:vAlign w:val="center"/>
          </w:tcPr>
          <w:p w14:paraId="4D951C82" w14:textId="77777777" w:rsidR="008B2953" w:rsidRPr="0002661E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C7393F2" w14:textId="77777777" w:rsidR="008B2953" w:rsidRPr="0002661E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661E">
              <w:rPr>
                <w:rFonts w:ascii="Times New Roman" w:hAnsi="Times New Roman" w:cs="Times New Roman"/>
                <w:sz w:val="20"/>
                <w:szCs w:val="22"/>
              </w:rPr>
              <w:t>zbycie</w:t>
            </w:r>
          </w:p>
        </w:tc>
        <w:tc>
          <w:tcPr>
            <w:tcW w:w="709" w:type="dxa"/>
            <w:textDirection w:val="btLr"/>
            <w:vAlign w:val="center"/>
          </w:tcPr>
          <w:p w14:paraId="28FF9A42" w14:textId="77777777" w:rsidR="008B2953" w:rsidRPr="0002661E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661E">
              <w:rPr>
                <w:rFonts w:ascii="Times New Roman" w:hAnsi="Times New Roman" w:cs="Times New Roman"/>
                <w:sz w:val="20"/>
                <w:szCs w:val="22"/>
              </w:rPr>
              <w:t>likwidacja</w:t>
            </w:r>
          </w:p>
        </w:tc>
        <w:tc>
          <w:tcPr>
            <w:tcW w:w="850" w:type="dxa"/>
            <w:textDirection w:val="btLr"/>
          </w:tcPr>
          <w:p w14:paraId="70CDACD1" w14:textId="77777777" w:rsidR="008B2953" w:rsidRPr="0002661E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1F06BC">
              <w:rPr>
                <w:rFonts w:ascii="Times New Roman" w:hAnsi="Times New Roman" w:cs="Times New Roman"/>
                <w:sz w:val="18"/>
                <w:szCs w:val="22"/>
              </w:rPr>
              <w:t>przemieszczenia wewnętrzne</w:t>
            </w:r>
          </w:p>
        </w:tc>
        <w:tc>
          <w:tcPr>
            <w:tcW w:w="851" w:type="dxa"/>
            <w:textDirection w:val="btLr"/>
          </w:tcPr>
          <w:p w14:paraId="1D6BBBC6" w14:textId="77777777" w:rsidR="008B2953" w:rsidRPr="0002661E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inne</w:t>
            </w:r>
          </w:p>
        </w:tc>
        <w:tc>
          <w:tcPr>
            <w:tcW w:w="850" w:type="dxa"/>
            <w:vMerge/>
            <w:vAlign w:val="center"/>
          </w:tcPr>
          <w:p w14:paraId="490F597F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CE92A4F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53" w14:paraId="4453AF4A" w14:textId="77777777" w:rsidTr="008D1A0E">
        <w:trPr>
          <w:cantSplit/>
          <w:trHeight w:val="264"/>
        </w:trPr>
        <w:tc>
          <w:tcPr>
            <w:tcW w:w="567" w:type="dxa"/>
            <w:vAlign w:val="center"/>
          </w:tcPr>
          <w:p w14:paraId="209161B8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82A57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045E8C17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82A57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956" w:type="dxa"/>
            <w:vAlign w:val="center"/>
          </w:tcPr>
          <w:p w14:paraId="3A310355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82A57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14:paraId="05599778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82A57"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14:paraId="591483ED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82A57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14:paraId="0315F0D2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82A57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14:paraId="7BC453F8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82A57">
              <w:rPr>
                <w:rFonts w:ascii="Times New Roman" w:hAnsi="Times New Roman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14:paraId="35D64D54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82A57">
              <w:rPr>
                <w:rFonts w:ascii="Times New Roman" w:hAnsi="Times New Roman" w:cs="Times New Roman"/>
                <w:sz w:val="20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79616036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82A57">
              <w:rPr>
                <w:rFonts w:ascii="Times New Roman" w:hAnsi="Times New Roman" w:cs="Times New Roman"/>
                <w:sz w:val="20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27B4E983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626EFDA9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5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570629A4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  <w:vAlign w:val="center"/>
          </w:tcPr>
          <w:p w14:paraId="22784BFA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5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7C076FA9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5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B2953" w14:paraId="084BAD14" w14:textId="77777777" w:rsidTr="008D1A0E">
        <w:trPr>
          <w:cantSplit/>
          <w:trHeight w:val="718"/>
        </w:trPr>
        <w:tc>
          <w:tcPr>
            <w:tcW w:w="567" w:type="dxa"/>
            <w:vAlign w:val="center"/>
          </w:tcPr>
          <w:p w14:paraId="59787E53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2A57">
              <w:rPr>
                <w:rFonts w:ascii="Times New Roman" w:hAnsi="Times New Roman" w:cs="Times New Roman"/>
                <w:b/>
                <w:sz w:val="22"/>
                <w:szCs w:val="22"/>
              </w:rPr>
              <w:t>I.</w:t>
            </w:r>
          </w:p>
        </w:tc>
        <w:tc>
          <w:tcPr>
            <w:tcW w:w="2552" w:type="dxa"/>
            <w:vAlign w:val="center"/>
          </w:tcPr>
          <w:p w14:paraId="7E932B30" w14:textId="77777777" w:rsidR="008B2953" w:rsidRPr="008B2953" w:rsidRDefault="008B2953" w:rsidP="008D1A0E">
            <w:pPr>
              <w:pStyle w:val="Tekstpodstawowy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Wartości niematerialne </w:t>
            </w:r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prawne</w:t>
            </w:r>
          </w:p>
        </w:tc>
        <w:tc>
          <w:tcPr>
            <w:tcW w:w="1956" w:type="dxa"/>
            <w:vAlign w:val="center"/>
          </w:tcPr>
          <w:p w14:paraId="6EECC5FF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14:paraId="0C74C7B1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771D951C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44EE3BC6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14:paraId="0277E44A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C7D97B1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9312C9C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E8915D8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2C17C9A6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extDirection w:val="btLr"/>
          </w:tcPr>
          <w:p w14:paraId="279FB867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35720BC1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339B7C3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53" w14:paraId="09ACA9E8" w14:textId="77777777" w:rsidTr="008D1A0E">
        <w:trPr>
          <w:cantSplit/>
          <w:trHeight w:val="559"/>
        </w:trPr>
        <w:tc>
          <w:tcPr>
            <w:tcW w:w="567" w:type="dxa"/>
            <w:vAlign w:val="center"/>
          </w:tcPr>
          <w:p w14:paraId="5A3B87D8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2A57">
              <w:rPr>
                <w:rFonts w:ascii="Times New Roman" w:hAnsi="Times New Roman" w:cs="Times New Roman"/>
                <w:b/>
                <w:sz w:val="22"/>
                <w:szCs w:val="22"/>
              </w:rPr>
              <w:t>II.</w:t>
            </w:r>
          </w:p>
        </w:tc>
        <w:tc>
          <w:tcPr>
            <w:tcW w:w="2552" w:type="dxa"/>
            <w:vAlign w:val="center"/>
          </w:tcPr>
          <w:p w14:paraId="38D7506C" w14:textId="77777777" w:rsidR="008B2953" w:rsidRPr="008B2953" w:rsidRDefault="008B2953" w:rsidP="008D1A0E">
            <w:pPr>
              <w:pStyle w:val="Tekstpodstawowy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>Środki trwałe (1+2+3+4+5)</w:t>
            </w:r>
          </w:p>
        </w:tc>
        <w:tc>
          <w:tcPr>
            <w:tcW w:w="1956" w:type="dxa"/>
            <w:vAlign w:val="center"/>
          </w:tcPr>
          <w:p w14:paraId="373508BD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14:paraId="089D1BC5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0E3F17A1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257A44C5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14:paraId="5EAD05C4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EC325FE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F95496F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D2ED7BA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3916E173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extDirection w:val="btLr"/>
          </w:tcPr>
          <w:p w14:paraId="3DD3BB64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7EC8B128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44156D2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53" w14:paraId="2489ED19" w14:textId="77777777" w:rsidTr="008D1A0E">
        <w:trPr>
          <w:cantSplit/>
          <w:trHeight w:val="274"/>
        </w:trPr>
        <w:tc>
          <w:tcPr>
            <w:tcW w:w="567" w:type="dxa"/>
            <w:vAlign w:val="center"/>
          </w:tcPr>
          <w:p w14:paraId="3FFEE73F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2" w:type="dxa"/>
            <w:vAlign w:val="center"/>
          </w:tcPr>
          <w:p w14:paraId="30FA3E0B" w14:textId="77777777" w:rsidR="008B2953" w:rsidRPr="008B2953" w:rsidRDefault="008B2953" w:rsidP="008D1A0E">
            <w:pPr>
              <w:pStyle w:val="Tekstpodstawow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Grunty, w tym:</w:t>
            </w:r>
          </w:p>
        </w:tc>
        <w:tc>
          <w:tcPr>
            <w:tcW w:w="1956" w:type="dxa"/>
            <w:vAlign w:val="center"/>
          </w:tcPr>
          <w:p w14:paraId="0B2B03E4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14:paraId="0C40F7C8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336E5EBE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2C356382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14:paraId="17374CD1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F8AB88E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7D6F621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CAD21F6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38FCA944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extDirection w:val="btLr"/>
          </w:tcPr>
          <w:p w14:paraId="4FF679CF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3DABC773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20F6B09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53" w:rsidRPr="00127095" w14:paraId="62B9FD15" w14:textId="77777777" w:rsidTr="008D1A0E">
        <w:trPr>
          <w:cantSplit/>
          <w:trHeight w:val="1508"/>
        </w:trPr>
        <w:tc>
          <w:tcPr>
            <w:tcW w:w="567" w:type="dxa"/>
            <w:vAlign w:val="center"/>
          </w:tcPr>
          <w:p w14:paraId="5A598DBB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552" w:type="dxa"/>
            <w:vAlign w:val="center"/>
          </w:tcPr>
          <w:p w14:paraId="389F31E0" w14:textId="77777777" w:rsidR="008B2953" w:rsidRPr="005321CB" w:rsidRDefault="008B2953" w:rsidP="008D1A0E">
            <w:pPr>
              <w:pStyle w:val="Tekstpodstawow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21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Grunty stanowiące własność jednostki samorządu terytorialnego, przekazane </w:t>
            </w:r>
            <w:r w:rsidRPr="005321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w użytkowanie wieczyste innym podmiotom</w:t>
            </w:r>
          </w:p>
        </w:tc>
        <w:tc>
          <w:tcPr>
            <w:tcW w:w="1956" w:type="dxa"/>
            <w:vAlign w:val="center"/>
          </w:tcPr>
          <w:p w14:paraId="4E492A47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708" w:type="dxa"/>
            <w:textDirection w:val="btLr"/>
          </w:tcPr>
          <w:p w14:paraId="67E7BFB4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40B25B65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textDirection w:val="btLr"/>
          </w:tcPr>
          <w:p w14:paraId="156906F6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extDirection w:val="btLr"/>
          </w:tcPr>
          <w:p w14:paraId="793CD9F7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2E82C753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A2598E3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F671F38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textDirection w:val="btLr"/>
          </w:tcPr>
          <w:p w14:paraId="7225909E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851" w:type="dxa"/>
            <w:textDirection w:val="btLr"/>
          </w:tcPr>
          <w:p w14:paraId="2629DF1B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2F60E341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32FB034A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B2953" w:rsidRPr="00127095" w14:paraId="6980DEF5" w14:textId="77777777" w:rsidTr="008D1A0E">
        <w:trPr>
          <w:cantSplit/>
          <w:trHeight w:val="789"/>
        </w:trPr>
        <w:tc>
          <w:tcPr>
            <w:tcW w:w="567" w:type="dxa"/>
            <w:vAlign w:val="center"/>
          </w:tcPr>
          <w:p w14:paraId="142EE83F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52" w:type="dxa"/>
            <w:vAlign w:val="center"/>
          </w:tcPr>
          <w:p w14:paraId="669075A7" w14:textId="77777777" w:rsidR="008B2953" w:rsidRPr="005321CB" w:rsidRDefault="008B2953" w:rsidP="008D1A0E">
            <w:pPr>
              <w:pStyle w:val="Tekstpodstawow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321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Budynki, lokale i obiekty inżynierii lądowej i wodnej</w:t>
            </w:r>
          </w:p>
        </w:tc>
        <w:tc>
          <w:tcPr>
            <w:tcW w:w="1956" w:type="dxa"/>
            <w:vAlign w:val="center"/>
          </w:tcPr>
          <w:p w14:paraId="4EFE6D6C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708" w:type="dxa"/>
            <w:textDirection w:val="btLr"/>
          </w:tcPr>
          <w:p w14:paraId="11B89557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7145DA8F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textDirection w:val="btLr"/>
          </w:tcPr>
          <w:p w14:paraId="1FDE8362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extDirection w:val="btLr"/>
          </w:tcPr>
          <w:p w14:paraId="3662FB94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0E5A205B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297F064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9EE020D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textDirection w:val="btLr"/>
          </w:tcPr>
          <w:p w14:paraId="0AD15869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851" w:type="dxa"/>
            <w:textDirection w:val="btLr"/>
          </w:tcPr>
          <w:p w14:paraId="1C3963A7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60B0B749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76745F81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B2953" w14:paraId="14915CCC" w14:textId="77777777" w:rsidTr="008D1A0E">
        <w:trPr>
          <w:cantSplit/>
          <w:trHeight w:val="592"/>
        </w:trPr>
        <w:tc>
          <w:tcPr>
            <w:tcW w:w="567" w:type="dxa"/>
            <w:vAlign w:val="center"/>
          </w:tcPr>
          <w:p w14:paraId="0FF64A07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552" w:type="dxa"/>
            <w:vAlign w:val="center"/>
          </w:tcPr>
          <w:p w14:paraId="7682AD08" w14:textId="77777777" w:rsidR="008B2953" w:rsidRPr="008B2953" w:rsidRDefault="008B2953" w:rsidP="008D1A0E">
            <w:pPr>
              <w:pStyle w:val="Tekstpodstawow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2953">
              <w:rPr>
                <w:rFonts w:ascii="Times New Roman" w:hAnsi="Times New Roman" w:cs="Times New Roman"/>
                <w:sz w:val="20"/>
                <w:szCs w:val="20"/>
              </w:rPr>
              <w:t xml:space="preserve">Urządzenia techniczne </w:t>
            </w:r>
            <w:r w:rsidRPr="008B2953">
              <w:rPr>
                <w:rFonts w:ascii="Times New Roman" w:hAnsi="Times New Roman" w:cs="Times New Roman"/>
                <w:sz w:val="20"/>
                <w:szCs w:val="20"/>
              </w:rPr>
              <w:br/>
              <w:t>i maszyny</w:t>
            </w:r>
          </w:p>
        </w:tc>
        <w:tc>
          <w:tcPr>
            <w:tcW w:w="1956" w:type="dxa"/>
            <w:vAlign w:val="center"/>
          </w:tcPr>
          <w:p w14:paraId="0E34F87B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14:paraId="212D41CE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60423B60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67ECACE9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14:paraId="7DB25B14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E5D18CF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48D917F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61375E1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039DE9D2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extDirection w:val="btLr"/>
          </w:tcPr>
          <w:p w14:paraId="5C1FCFCA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4B73628E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498CA30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53" w14:paraId="7B9C7163" w14:textId="77777777" w:rsidTr="008D1A0E">
        <w:trPr>
          <w:cantSplit/>
          <w:trHeight w:val="330"/>
        </w:trPr>
        <w:tc>
          <w:tcPr>
            <w:tcW w:w="567" w:type="dxa"/>
            <w:vAlign w:val="center"/>
          </w:tcPr>
          <w:p w14:paraId="27A1AAEB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552" w:type="dxa"/>
            <w:vAlign w:val="center"/>
          </w:tcPr>
          <w:p w14:paraId="0026C4AE" w14:textId="77777777" w:rsidR="008B2953" w:rsidRPr="008B2953" w:rsidRDefault="008B2953" w:rsidP="008D1A0E">
            <w:pPr>
              <w:pStyle w:val="Tekstpodstawow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Środki transportu</w:t>
            </w:r>
          </w:p>
        </w:tc>
        <w:tc>
          <w:tcPr>
            <w:tcW w:w="1956" w:type="dxa"/>
            <w:vAlign w:val="center"/>
          </w:tcPr>
          <w:p w14:paraId="6A53E960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14:paraId="302D017D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499ED2B4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6D06295E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14:paraId="206DDD28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1CA117D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00DA69A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6BD32A5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734CAF77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extDirection w:val="btLr"/>
          </w:tcPr>
          <w:p w14:paraId="5FF46C07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3EE135DD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0DC39A6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53" w14:paraId="48E56809" w14:textId="77777777" w:rsidTr="008D1A0E">
        <w:trPr>
          <w:cantSplit/>
          <w:trHeight w:val="330"/>
        </w:trPr>
        <w:tc>
          <w:tcPr>
            <w:tcW w:w="567" w:type="dxa"/>
            <w:vAlign w:val="center"/>
          </w:tcPr>
          <w:p w14:paraId="3BB6EC3C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552" w:type="dxa"/>
            <w:vAlign w:val="center"/>
          </w:tcPr>
          <w:p w14:paraId="73918AA4" w14:textId="77777777" w:rsidR="008B2953" w:rsidRPr="008B2953" w:rsidRDefault="008B2953" w:rsidP="008D1A0E">
            <w:pPr>
              <w:pStyle w:val="Tekstpodstawow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Inne środki trwałe</w:t>
            </w:r>
          </w:p>
        </w:tc>
        <w:tc>
          <w:tcPr>
            <w:tcW w:w="1956" w:type="dxa"/>
            <w:vAlign w:val="center"/>
          </w:tcPr>
          <w:p w14:paraId="3180B568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14:paraId="31BC2C20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1AF59D32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5B9C4B46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14:paraId="16009A8B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0357F5E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F640DD2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C72EE82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3034B410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extDirection w:val="btLr"/>
          </w:tcPr>
          <w:p w14:paraId="70ECA48C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41718DCA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C594CD5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53" w:rsidRPr="00127095" w14:paraId="033F9F21" w14:textId="77777777" w:rsidTr="008D1A0E">
        <w:trPr>
          <w:cantSplit/>
          <w:trHeight w:val="330"/>
        </w:trPr>
        <w:tc>
          <w:tcPr>
            <w:tcW w:w="567" w:type="dxa"/>
            <w:vAlign w:val="center"/>
          </w:tcPr>
          <w:p w14:paraId="23D50740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2A57">
              <w:rPr>
                <w:rFonts w:ascii="Times New Roman" w:hAnsi="Times New Roman" w:cs="Times New Roman"/>
                <w:b/>
                <w:sz w:val="22"/>
                <w:szCs w:val="22"/>
              </w:rPr>
              <w:t>III.</w:t>
            </w:r>
          </w:p>
        </w:tc>
        <w:tc>
          <w:tcPr>
            <w:tcW w:w="2552" w:type="dxa"/>
            <w:vAlign w:val="center"/>
          </w:tcPr>
          <w:p w14:paraId="3E83DDE5" w14:textId="77777777" w:rsidR="008B2953" w:rsidRPr="005321CB" w:rsidRDefault="008B2953" w:rsidP="008D1A0E">
            <w:pPr>
              <w:pStyle w:val="Tekstpodstawowy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321C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Środki trwałe </w:t>
            </w:r>
            <w:r w:rsidRPr="005321C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br/>
              <w:t>w budowie (inwestycje)</w:t>
            </w:r>
          </w:p>
        </w:tc>
        <w:tc>
          <w:tcPr>
            <w:tcW w:w="1956" w:type="dxa"/>
            <w:vAlign w:val="center"/>
          </w:tcPr>
          <w:p w14:paraId="63E46425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708" w:type="dxa"/>
            <w:textDirection w:val="btLr"/>
          </w:tcPr>
          <w:p w14:paraId="4BE2C3FF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5585DE55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textDirection w:val="btLr"/>
          </w:tcPr>
          <w:p w14:paraId="0BAF54C6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extDirection w:val="btLr"/>
          </w:tcPr>
          <w:p w14:paraId="6053E700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0DD1D840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661BC48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2E80F65E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textDirection w:val="btLr"/>
          </w:tcPr>
          <w:p w14:paraId="24783051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851" w:type="dxa"/>
            <w:textDirection w:val="btLr"/>
          </w:tcPr>
          <w:p w14:paraId="31E267CC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55B4C4D1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12EF5940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B2953" w:rsidRPr="00127095" w14:paraId="58C12784" w14:textId="77777777" w:rsidTr="008D1A0E">
        <w:trPr>
          <w:cantSplit/>
          <w:trHeight w:val="330"/>
        </w:trPr>
        <w:tc>
          <w:tcPr>
            <w:tcW w:w="567" w:type="dxa"/>
            <w:vAlign w:val="center"/>
          </w:tcPr>
          <w:p w14:paraId="3AC87547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2A57">
              <w:rPr>
                <w:rFonts w:ascii="Times New Roman" w:hAnsi="Times New Roman" w:cs="Times New Roman"/>
                <w:b/>
                <w:sz w:val="22"/>
                <w:szCs w:val="22"/>
              </w:rPr>
              <w:t>IV.</w:t>
            </w:r>
          </w:p>
        </w:tc>
        <w:tc>
          <w:tcPr>
            <w:tcW w:w="2552" w:type="dxa"/>
            <w:vAlign w:val="center"/>
          </w:tcPr>
          <w:p w14:paraId="3747F8CA" w14:textId="77777777" w:rsidR="008B2953" w:rsidRPr="005321CB" w:rsidRDefault="008B2953" w:rsidP="008D1A0E">
            <w:pPr>
              <w:pStyle w:val="Tekstpodstawowy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321C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Zaliczki na środki trwałe w budowie (inwestycje)</w:t>
            </w:r>
          </w:p>
        </w:tc>
        <w:tc>
          <w:tcPr>
            <w:tcW w:w="1956" w:type="dxa"/>
            <w:vAlign w:val="center"/>
          </w:tcPr>
          <w:p w14:paraId="5F203F9D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708" w:type="dxa"/>
            <w:textDirection w:val="btLr"/>
          </w:tcPr>
          <w:p w14:paraId="733548E4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5E3A5161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textDirection w:val="btLr"/>
          </w:tcPr>
          <w:p w14:paraId="7E50EE7F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extDirection w:val="btLr"/>
          </w:tcPr>
          <w:p w14:paraId="01DA6C6F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337EA030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BD41E52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39BE1D8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textDirection w:val="btLr"/>
          </w:tcPr>
          <w:p w14:paraId="7E33DBD4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851" w:type="dxa"/>
            <w:textDirection w:val="btLr"/>
          </w:tcPr>
          <w:p w14:paraId="26855558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6427D839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679EF8F1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B2953" w:rsidRPr="00127095" w14:paraId="32FE1BC3" w14:textId="77777777" w:rsidTr="008D1A0E">
        <w:trPr>
          <w:cantSplit/>
          <w:trHeight w:val="330"/>
        </w:trPr>
        <w:tc>
          <w:tcPr>
            <w:tcW w:w="567" w:type="dxa"/>
            <w:vAlign w:val="center"/>
          </w:tcPr>
          <w:p w14:paraId="0515D75C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2A57">
              <w:rPr>
                <w:rFonts w:ascii="Times New Roman" w:hAnsi="Times New Roman" w:cs="Times New Roman"/>
                <w:b/>
                <w:sz w:val="22"/>
                <w:szCs w:val="22"/>
              </w:rPr>
              <w:t>V.</w:t>
            </w:r>
          </w:p>
        </w:tc>
        <w:tc>
          <w:tcPr>
            <w:tcW w:w="2552" w:type="dxa"/>
            <w:vAlign w:val="center"/>
          </w:tcPr>
          <w:p w14:paraId="31F3A72F" w14:textId="77777777" w:rsidR="008B2953" w:rsidRPr="005321CB" w:rsidRDefault="008B2953" w:rsidP="008D1A0E">
            <w:pPr>
              <w:pStyle w:val="Tekstpodstawowy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321C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Rzeczowe aktywa trwałe (II+III+IV)</w:t>
            </w:r>
          </w:p>
        </w:tc>
        <w:tc>
          <w:tcPr>
            <w:tcW w:w="1956" w:type="dxa"/>
            <w:vAlign w:val="center"/>
          </w:tcPr>
          <w:p w14:paraId="6B6189D7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708" w:type="dxa"/>
            <w:textDirection w:val="btLr"/>
          </w:tcPr>
          <w:p w14:paraId="17F20028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39FCCC88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textDirection w:val="btLr"/>
          </w:tcPr>
          <w:p w14:paraId="323F5A9E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extDirection w:val="btLr"/>
          </w:tcPr>
          <w:p w14:paraId="438437BD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425B2D6B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EEA40F5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BCABDBD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textDirection w:val="btLr"/>
          </w:tcPr>
          <w:p w14:paraId="6BDDC11E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851" w:type="dxa"/>
            <w:textDirection w:val="btLr"/>
          </w:tcPr>
          <w:p w14:paraId="35468459" w14:textId="77777777" w:rsidR="008B2953" w:rsidRPr="005321CB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6D502C43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37BEEFB1" w14:textId="77777777" w:rsidR="008B2953" w:rsidRPr="005321CB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bookmarkEnd w:id="0"/>
    <w:p w14:paraId="597BE619" w14:textId="77777777" w:rsidR="0042447B" w:rsidRDefault="00BD4E92" w:rsidP="008D1A0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Tabela</w:t>
      </w:r>
      <w:r w:rsidR="008D1A0E" w:rsidRPr="008D1A0E">
        <w:rPr>
          <w:rFonts w:ascii="Times New Roman" w:hAnsi="Times New Roman" w:cs="Times New Roman"/>
          <w:sz w:val="18"/>
          <w:szCs w:val="18"/>
        </w:rPr>
        <w:t xml:space="preserve"> nr 1</w:t>
      </w:r>
    </w:p>
    <w:p w14:paraId="01373A42" w14:textId="40E3103C" w:rsidR="008D1A0E" w:rsidRPr="008D1A0E" w:rsidRDefault="008D1A0E" w:rsidP="008D1A0E">
      <w:pPr>
        <w:jc w:val="center"/>
        <w:rPr>
          <w:rFonts w:ascii="Times New Roman" w:hAnsi="Times New Roman" w:cs="Times New Roman"/>
          <w:b/>
        </w:rPr>
      </w:pPr>
      <w:r w:rsidRPr="008D1A0E">
        <w:rPr>
          <w:rFonts w:ascii="Times New Roman" w:hAnsi="Times New Roman" w:cs="Times New Roman"/>
          <w:b/>
        </w:rPr>
        <w:t>INFORMACJA O STANIE I RUCHU ŚRODKÓW TR</w:t>
      </w:r>
      <w:r w:rsidR="006C6D73">
        <w:rPr>
          <w:rFonts w:ascii="Times New Roman" w:hAnsi="Times New Roman" w:cs="Times New Roman"/>
          <w:b/>
        </w:rPr>
        <w:t>W</w:t>
      </w:r>
      <w:r w:rsidRPr="008D1A0E">
        <w:rPr>
          <w:rFonts w:ascii="Times New Roman" w:hAnsi="Times New Roman" w:cs="Times New Roman"/>
          <w:b/>
        </w:rPr>
        <w:t>AŁYCH za 20</w:t>
      </w:r>
      <w:r w:rsidR="005321CB">
        <w:rPr>
          <w:rFonts w:ascii="Times New Roman" w:hAnsi="Times New Roman" w:cs="Times New Roman"/>
          <w:b/>
        </w:rPr>
        <w:t>2</w:t>
      </w:r>
      <w:r w:rsidR="002164F4">
        <w:rPr>
          <w:rFonts w:ascii="Times New Roman" w:hAnsi="Times New Roman" w:cs="Times New Roman"/>
          <w:b/>
        </w:rPr>
        <w:t>1</w:t>
      </w:r>
      <w:r w:rsidRPr="008D1A0E">
        <w:rPr>
          <w:rFonts w:ascii="Times New Roman" w:hAnsi="Times New Roman" w:cs="Times New Roman"/>
          <w:b/>
        </w:rPr>
        <w:t xml:space="preserve"> rok</w:t>
      </w:r>
    </w:p>
    <w:sectPr w:rsidR="008D1A0E" w:rsidRPr="008D1A0E" w:rsidSect="008B29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53"/>
    <w:rsid w:val="002164F4"/>
    <w:rsid w:val="0042447B"/>
    <w:rsid w:val="005321CB"/>
    <w:rsid w:val="006C6D73"/>
    <w:rsid w:val="008B2953"/>
    <w:rsid w:val="008D1A0E"/>
    <w:rsid w:val="00BD4E92"/>
    <w:rsid w:val="00C50A72"/>
    <w:rsid w:val="00D6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0FF6"/>
  <w15:docId w15:val="{5964E342-32F4-4AA4-B2A9-7D64CCCD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953"/>
    <w:pPr>
      <w:spacing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8B2953"/>
    <w:pPr>
      <w:spacing w:before="180" w:after="180"/>
    </w:pPr>
  </w:style>
  <w:style w:type="character" w:customStyle="1" w:styleId="TekstpodstawowyZnak">
    <w:name w:val="Tekst podstawowy Znak"/>
    <w:basedOn w:val="Domylnaczcionkaakapitu"/>
    <w:link w:val="Tekstpodstawowy"/>
    <w:rsid w:val="008B2953"/>
    <w:rPr>
      <w:sz w:val="24"/>
      <w:szCs w:val="24"/>
    </w:rPr>
  </w:style>
  <w:style w:type="table" w:styleId="Tabela-Siatka">
    <w:name w:val="Table Grid"/>
    <w:basedOn w:val="Standardowy"/>
    <w:rsid w:val="008B295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mgrenda</dc:creator>
  <cp:keywords/>
  <dc:description/>
  <cp:lastModifiedBy>mgrenda</cp:lastModifiedBy>
  <cp:revision>2</cp:revision>
  <cp:lastPrinted>2020-02-11T08:46:00Z</cp:lastPrinted>
  <dcterms:created xsi:type="dcterms:W3CDTF">2022-02-24T07:31:00Z</dcterms:created>
  <dcterms:modified xsi:type="dcterms:W3CDTF">2022-02-24T07:31:00Z</dcterms:modified>
</cp:coreProperties>
</file>